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125E3" w14:textId="6BCEEAFB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0F1706" w:rsidRPr="000F1706">
        <w:t xml:space="preserve"> </w:t>
      </w:r>
      <w:r w:rsidR="000F1706" w:rsidRPr="000F1706">
        <w:rPr>
          <w:rFonts w:ascii="Arial" w:eastAsia="MS Mincho" w:hAnsi="Arial"/>
          <w:b/>
          <w:sz w:val="24"/>
          <w:szCs w:val="24"/>
          <w:lang w:eastAsia="x-none"/>
        </w:rPr>
        <w:t>1902006</w:t>
      </w:r>
    </w:p>
    <w:p w14:paraId="64975AFE" w14:textId="77777777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3D1082A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F353E">
        <w:rPr>
          <w:rFonts w:ascii="Arial" w:hAnsi="Arial" w:cs="Arial"/>
          <w:b/>
          <w:noProof/>
          <w:sz w:val="28"/>
          <w:szCs w:val="28"/>
          <w:lang w:val="en-US" w:eastAsia="ko-KR"/>
        </w:rPr>
        <w:t>Scheduling</w:t>
      </w:r>
      <w:r w:rsidR="00FC252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</w:t>
      </w:r>
      <w:r w:rsidR="00D1041E">
        <w:rPr>
          <w:rFonts w:ascii="Arial" w:hAnsi="Arial" w:cs="Arial"/>
          <w:b/>
          <w:noProof/>
          <w:sz w:val="28"/>
          <w:szCs w:val="28"/>
          <w:lang w:val="en-US" w:eastAsia="ko-KR"/>
        </w:rPr>
        <w:t>TSN traffic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93D38EA" w14:textId="0AC4A6C3" w:rsidR="00D26520" w:rsidRDefault="00326454" w:rsidP="008237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D26520" w:rsidRPr="00D26520">
        <w:rPr>
          <w:lang w:eastAsia="ko-KR"/>
        </w:rPr>
        <w:t>Study on NR Industrial Internet of Things</w:t>
      </w:r>
      <w:r>
        <w:rPr>
          <w:rFonts w:hint="eastAsia"/>
          <w:lang w:eastAsia="ko-KR"/>
        </w:rPr>
        <w:t xml:space="preserve">, </w:t>
      </w:r>
      <w:r w:rsidR="00D26520">
        <w:rPr>
          <w:lang w:eastAsia="ko-KR"/>
        </w:rPr>
        <w:t>a several key use cases are to be considered [</w:t>
      </w:r>
      <w:hyperlink r:id="rId8" w:history="1">
        <w:r w:rsidR="00D26520" w:rsidRPr="0096310C">
          <w:rPr>
            <w:rStyle w:val="ab"/>
            <w:lang w:eastAsia="ko-KR"/>
          </w:rPr>
          <w:t>RP-182090</w:t>
        </w:r>
      </w:hyperlink>
      <w:r w:rsidR="00D26520">
        <w:rPr>
          <w:lang w:eastAsia="ko-KR"/>
        </w:rPr>
        <w:t>]:</w:t>
      </w:r>
    </w:p>
    <w:p w14:paraId="5ADD714B" w14:textId="77777777" w:rsidR="00D26520" w:rsidRPr="00D630B3" w:rsidRDefault="00D26520" w:rsidP="00D2652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Release 15 enabled use case improvements</w:t>
      </w:r>
    </w:p>
    <w:p w14:paraId="7C50273B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Such as AR/VR (Entertainment industry)</w:t>
      </w:r>
    </w:p>
    <w:p w14:paraId="29FDEC3C" w14:textId="77777777" w:rsidR="00D26520" w:rsidRPr="00D630B3" w:rsidRDefault="00D26520" w:rsidP="00D2652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New Release 16 use cases with higher requirements</w:t>
      </w:r>
    </w:p>
    <w:p w14:paraId="0D5C7F8F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Factory automation</w:t>
      </w:r>
    </w:p>
    <w:p w14:paraId="3096488C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Transport Industry</w:t>
      </w:r>
    </w:p>
    <w:p w14:paraId="1069F429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ind w:left="1434" w:hanging="357"/>
        <w:jc w:val="both"/>
        <w:textAlignment w:val="baseline"/>
        <w:rPr>
          <w:bCs/>
        </w:rPr>
      </w:pPr>
      <w:r w:rsidRPr="00D630B3">
        <w:rPr>
          <w:bCs/>
        </w:rPr>
        <w:t>Electrical Power Distribution</w:t>
      </w:r>
    </w:p>
    <w:p w14:paraId="4C3ECF2E" w14:textId="31B50D68" w:rsidR="007B4939" w:rsidRDefault="007B4939" w:rsidP="0082370A">
      <w:pPr>
        <w:rPr>
          <w:lang w:eastAsia="ko-KR"/>
        </w:rPr>
      </w:pPr>
      <w:r>
        <w:rPr>
          <w:lang w:eastAsia="ko-KR"/>
        </w:rPr>
        <w:t xml:space="preserve">For each use case, characteristics of packet transfer are </w:t>
      </w:r>
      <w:r w:rsidR="007B47DE">
        <w:rPr>
          <w:lang w:eastAsia="ko-KR"/>
        </w:rPr>
        <w:t xml:space="preserve">different </w:t>
      </w:r>
      <w:r>
        <w:rPr>
          <w:lang w:eastAsia="ko-KR"/>
        </w:rPr>
        <w:t xml:space="preserve">depending on the role/purpose of applications and the involved machine type. </w:t>
      </w:r>
      <w:r w:rsidR="00CB450B">
        <w:rPr>
          <w:lang w:eastAsia="ko-KR"/>
        </w:rPr>
        <w:t xml:space="preserve">In this regards, this </w:t>
      </w:r>
      <w:r w:rsidR="009C40C1">
        <w:rPr>
          <w:lang w:eastAsia="ko-KR"/>
        </w:rPr>
        <w:t>contribution</w:t>
      </w:r>
      <w:r w:rsidR="00CB450B">
        <w:rPr>
          <w:lang w:eastAsia="ko-KR"/>
        </w:rPr>
        <w:t xml:space="preserve"> provides a possible </w:t>
      </w:r>
      <w:r w:rsidR="007B47DE">
        <w:rPr>
          <w:lang w:eastAsia="ko-KR"/>
        </w:rPr>
        <w:t>scheduling</w:t>
      </w:r>
      <w:r w:rsidR="00CB450B">
        <w:rPr>
          <w:lang w:eastAsia="ko-KR"/>
        </w:rPr>
        <w:t xml:space="preserve"> enhancement.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C59A297" w14:textId="626E1CB5" w:rsidR="00A6542B" w:rsidRDefault="00BA7FD3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>In IIOT, one stringent requirement is to serve multiple applications</w:t>
      </w:r>
      <w:r>
        <w:rPr>
          <w:lang w:val="en-US" w:eastAsia="ko-KR"/>
        </w:rPr>
        <w:t xml:space="preserve"> simultaneously </w:t>
      </w:r>
      <w:r w:rsidR="00253D5B">
        <w:rPr>
          <w:lang w:val="en-US" w:eastAsia="ko-KR"/>
        </w:rPr>
        <w:t>without sacrificing their</w:t>
      </w:r>
      <w:r>
        <w:rPr>
          <w:rFonts w:hint="eastAsia"/>
          <w:lang w:val="en-US" w:eastAsia="ko-KR"/>
        </w:rPr>
        <w:t xml:space="preserve"> own requirement. </w:t>
      </w:r>
      <w:r w:rsidR="009A7DFA">
        <w:rPr>
          <w:lang w:val="en-US" w:eastAsia="ko-KR"/>
        </w:rPr>
        <w:t xml:space="preserve">In basic scheduling operation, this can be achieved by getting </w:t>
      </w:r>
      <w:r w:rsidR="002E5425">
        <w:rPr>
          <w:lang w:val="en-US" w:eastAsia="ko-KR"/>
        </w:rPr>
        <w:t>an</w:t>
      </w:r>
      <w:r w:rsidR="009A7DFA">
        <w:rPr>
          <w:lang w:val="en-US" w:eastAsia="ko-KR"/>
        </w:rPr>
        <w:t xml:space="preserve"> UL grant in response to the buffer size reporting and performing multiplexing based on LCP procedure. </w:t>
      </w:r>
    </w:p>
    <w:p w14:paraId="517871C0" w14:textId="76099914" w:rsidR="00463BF7" w:rsidRDefault="00062EF9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LCP procedure is very well designed mechanism that </w:t>
      </w:r>
      <w:r>
        <w:rPr>
          <w:lang w:val="en-US" w:eastAsia="ko-KR"/>
        </w:rPr>
        <w:t>allows transmission of data from</w:t>
      </w:r>
      <w:r>
        <w:rPr>
          <w:rFonts w:hint="eastAsia"/>
          <w:lang w:val="en-US" w:eastAsia="ko-KR"/>
        </w:rPr>
        <w:t xml:space="preserve"> multiple logical channels </w:t>
      </w:r>
      <w:r>
        <w:rPr>
          <w:lang w:val="en-US" w:eastAsia="ko-KR"/>
        </w:rPr>
        <w:t xml:space="preserve">by considering fairness. In the meanwhile, LCP procedure is one </w:t>
      </w:r>
      <w:r w:rsidR="00631D9E">
        <w:rPr>
          <w:lang w:val="en-US" w:eastAsia="ko-KR"/>
        </w:rPr>
        <w:t>part that consumes UE processing time. In NR, although pre-processing reduces total processing time in Layer 2, the UE still needs some processing time in MAC in order to allocate UL grant for each logical channel</w:t>
      </w:r>
      <w:r w:rsidR="00EE6D0E">
        <w:rPr>
          <w:lang w:val="en-US" w:eastAsia="ko-KR"/>
        </w:rPr>
        <w:t xml:space="preserve"> and generates a MAC PDU by including MAC SDUs delivered from multiple RLC entities</w:t>
      </w:r>
      <w:r w:rsidR="00631D9E">
        <w:rPr>
          <w:lang w:val="en-US" w:eastAsia="ko-KR"/>
        </w:rPr>
        <w:t>.</w:t>
      </w:r>
      <w:r w:rsidR="00463BF7">
        <w:rPr>
          <w:lang w:val="en-US" w:eastAsia="ko-KR"/>
        </w:rPr>
        <w:t xml:space="preserve"> </w:t>
      </w:r>
      <w:r w:rsidR="00631D9E">
        <w:rPr>
          <w:lang w:val="en-US" w:eastAsia="ko-KR"/>
        </w:rPr>
        <w:t xml:space="preserve">According to TR 22.804, </w:t>
      </w:r>
      <w:r w:rsidR="00463BF7">
        <w:rPr>
          <w:lang w:val="en-US" w:eastAsia="ko-KR"/>
        </w:rPr>
        <w:t xml:space="preserve">in the meanwhile, </w:t>
      </w:r>
      <w:r w:rsidR="00631D9E">
        <w:rPr>
          <w:lang w:val="en-US" w:eastAsia="ko-KR"/>
        </w:rPr>
        <w:t xml:space="preserve">TSN traffic </w:t>
      </w:r>
      <w:r w:rsidR="00EE6D0E">
        <w:rPr>
          <w:lang w:val="en-US" w:eastAsia="ko-KR"/>
        </w:rPr>
        <w:t xml:space="preserve">needs to be transmitted </w:t>
      </w:r>
      <w:r w:rsidR="00631D9E">
        <w:rPr>
          <w:lang w:val="en-US" w:eastAsia="ko-KR"/>
        </w:rPr>
        <w:t xml:space="preserve">within bounds, e.g., </w:t>
      </w:r>
      <w:r w:rsidR="00BF603D">
        <w:rPr>
          <w:lang w:val="en-US" w:eastAsia="ko-KR"/>
        </w:rPr>
        <w:t xml:space="preserve">1ms. Therefore, it would be helpful to reduce the processing time as much as possible. </w:t>
      </w:r>
    </w:p>
    <w:p w14:paraId="341B37EB" w14:textId="02194DD3" w:rsidR="00EE6D0E" w:rsidRDefault="00EE6D0E" w:rsidP="00A6542B">
      <w:pPr>
        <w:rPr>
          <w:lang w:val="en-US" w:eastAsia="ko-KR"/>
        </w:rPr>
      </w:pPr>
      <w:r>
        <w:rPr>
          <w:lang w:val="en-US" w:eastAsia="ko-KR"/>
        </w:rPr>
        <w:t xml:space="preserve">In addition, multiplexing </w:t>
      </w:r>
      <w:r w:rsidR="0088206E">
        <w:rPr>
          <w:lang w:val="en-US" w:eastAsia="ko-KR"/>
        </w:rPr>
        <w:t xml:space="preserve">different TSN traffics into one MAC PDU </w:t>
      </w:r>
      <w:r>
        <w:rPr>
          <w:lang w:val="en-US" w:eastAsia="ko-KR"/>
        </w:rPr>
        <w:t xml:space="preserve">may only </w:t>
      </w:r>
      <w:r w:rsidR="0088206E">
        <w:rPr>
          <w:lang w:val="en-US" w:eastAsia="ko-KR"/>
        </w:rPr>
        <w:t xml:space="preserve">complicate the retransmission scheduling because the </w:t>
      </w:r>
      <w:r w:rsidR="00F21454">
        <w:rPr>
          <w:lang w:val="en-US" w:eastAsia="ko-KR"/>
        </w:rPr>
        <w:t>survival</w:t>
      </w:r>
      <w:r w:rsidR="0088206E">
        <w:rPr>
          <w:lang w:val="en-US" w:eastAsia="ko-KR"/>
        </w:rPr>
        <w:t xml:space="preserve"> time might be different</w:t>
      </w:r>
      <w:r w:rsidR="00401E4E">
        <w:rPr>
          <w:lang w:val="en-US" w:eastAsia="ko-KR"/>
        </w:rPr>
        <w:t xml:space="preserve"> for each TSN traffic </w:t>
      </w:r>
      <w:r w:rsidR="00F21454">
        <w:rPr>
          <w:lang w:val="en-US" w:eastAsia="ko-KR"/>
        </w:rPr>
        <w:t xml:space="preserve">[TS 22.261] </w:t>
      </w:r>
      <w:r w:rsidR="00401E4E">
        <w:rPr>
          <w:lang w:val="en-US" w:eastAsia="ko-KR"/>
        </w:rPr>
        <w:t xml:space="preserve">and retransmission after the </w:t>
      </w:r>
      <w:r w:rsidR="00F21454">
        <w:rPr>
          <w:lang w:val="en-US" w:eastAsia="ko-KR"/>
        </w:rPr>
        <w:t>survival</w:t>
      </w:r>
      <w:r w:rsidR="00401E4E">
        <w:rPr>
          <w:lang w:val="en-US" w:eastAsia="ko-KR"/>
        </w:rPr>
        <w:t xml:space="preserve"> time would not be necessary at all</w:t>
      </w:r>
      <w:r w:rsidR="0088206E">
        <w:rPr>
          <w:lang w:val="en-US" w:eastAsia="ko-KR"/>
        </w:rPr>
        <w:t xml:space="preserve">. </w:t>
      </w:r>
    </w:p>
    <w:p w14:paraId="2997BB0C" w14:textId="01E7AC41" w:rsidR="00EE6D0E" w:rsidRDefault="00EE6D0E" w:rsidP="00A6542B">
      <w:pPr>
        <w:rPr>
          <w:lang w:val="en-US" w:eastAsia="ko-KR"/>
        </w:rPr>
      </w:pPr>
      <w:r>
        <w:rPr>
          <w:lang w:val="en-US" w:eastAsia="ko-KR"/>
        </w:rPr>
        <w:t xml:space="preserve">In this sense, one potential enhancement would be to provide an UL grant targeting a </w:t>
      </w:r>
      <w:r w:rsidR="00401E4E">
        <w:rPr>
          <w:lang w:val="en-US" w:eastAsia="ko-KR"/>
        </w:rPr>
        <w:t xml:space="preserve">specific TSN traffic, e.g., a </w:t>
      </w:r>
      <w:r>
        <w:rPr>
          <w:lang w:val="en-US" w:eastAsia="ko-KR"/>
        </w:rPr>
        <w:t xml:space="preserve">specific logical channel. </w:t>
      </w:r>
      <w:r w:rsidR="00401E4E">
        <w:rPr>
          <w:lang w:val="en-US" w:eastAsia="ko-KR"/>
        </w:rPr>
        <w:t>It</w:t>
      </w:r>
      <w:r w:rsidR="00B705D8">
        <w:rPr>
          <w:lang w:val="en-US" w:eastAsia="ko-KR"/>
        </w:rPr>
        <w:t xml:space="preserve"> means that </w:t>
      </w:r>
      <w:r w:rsidR="00F12A8E">
        <w:rPr>
          <w:lang w:val="en-US" w:eastAsia="ko-KR"/>
        </w:rPr>
        <w:t>when the UE receives the UL grant</w:t>
      </w:r>
      <w:r w:rsidR="00401E4E">
        <w:rPr>
          <w:lang w:val="en-US" w:eastAsia="ko-KR"/>
        </w:rPr>
        <w:t xml:space="preserve"> targeting a specific TSN traffic</w:t>
      </w:r>
      <w:r w:rsidR="00F12A8E">
        <w:rPr>
          <w:lang w:val="en-US" w:eastAsia="ko-KR"/>
        </w:rPr>
        <w:t xml:space="preserve">, </w:t>
      </w:r>
      <w:r w:rsidR="00B705D8">
        <w:rPr>
          <w:lang w:val="en-US" w:eastAsia="ko-KR"/>
        </w:rPr>
        <w:t xml:space="preserve">the UE doesn’t perform LCP procedure but only includes </w:t>
      </w:r>
      <w:r w:rsidR="00401E4E">
        <w:rPr>
          <w:lang w:val="en-US" w:eastAsia="ko-KR"/>
        </w:rPr>
        <w:t xml:space="preserve">the targeted TSN traffic, e.g., </w:t>
      </w:r>
      <w:r w:rsidR="00B705D8">
        <w:rPr>
          <w:lang w:val="en-US" w:eastAsia="ko-KR"/>
        </w:rPr>
        <w:t>data from the indicated logical channel</w:t>
      </w:r>
      <w:r w:rsidR="00401E4E">
        <w:rPr>
          <w:lang w:val="en-US" w:eastAsia="ko-KR"/>
        </w:rPr>
        <w:t>. By doing this</w:t>
      </w:r>
      <w:r w:rsidR="00B705D8">
        <w:rPr>
          <w:lang w:val="en-US" w:eastAsia="ko-KR"/>
        </w:rPr>
        <w:t xml:space="preserve">, </w:t>
      </w:r>
      <w:r w:rsidR="00401E4E">
        <w:rPr>
          <w:lang w:val="en-US" w:eastAsia="ko-KR"/>
        </w:rPr>
        <w:t xml:space="preserve">we see benefit from latency point of view because </w:t>
      </w:r>
      <w:r w:rsidR="00B705D8">
        <w:rPr>
          <w:lang w:val="en-US" w:eastAsia="ko-KR"/>
        </w:rPr>
        <w:t xml:space="preserve">the UE can save processing time </w:t>
      </w:r>
      <w:r w:rsidR="00401E4E">
        <w:rPr>
          <w:lang w:val="en-US" w:eastAsia="ko-KR"/>
        </w:rPr>
        <w:t>of</w:t>
      </w:r>
      <w:r w:rsidR="00B705D8">
        <w:rPr>
          <w:lang w:val="en-US" w:eastAsia="ko-KR"/>
        </w:rPr>
        <w:t xml:space="preserve"> LCP procedure. </w:t>
      </w:r>
    </w:p>
    <w:p w14:paraId="55BF408A" w14:textId="661D1E4A" w:rsidR="00A6542B" w:rsidRDefault="00401E4E" w:rsidP="00A6542B">
      <w:pPr>
        <w:rPr>
          <w:lang w:val="en-US" w:eastAsia="ko-KR"/>
        </w:rPr>
      </w:pPr>
      <w:r>
        <w:rPr>
          <w:lang w:val="en-US" w:eastAsia="ko-KR"/>
        </w:rPr>
        <w:t xml:space="preserve">This mechanism </w:t>
      </w:r>
      <w:r w:rsidR="00B705D8">
        <w:rPr>
          <w:lang w:val="en-US" w:eastAsia="ko-KR"/>
        </w:rPr>
        <w:t xml:space="preserve">would make sense when </w:t>
      </w:r>
      <w:r w:rsidR="00F12A8E">
        <w:rPr>
          <w:lang w:val="en-US" w:eastAsia="ko-KR"/>
        </w:rPr>
        <w:t>the net</w:t>
      </w:r>
      <w:r>
        <w:rPr>
          <w:lang w:val="en-US" w:eastAsia="ko-KR"/>
        </w:rPr>
        <w:t>work can provide proper UL grant for a specific TSN traffic</w:t>
      </w:r>
      <w:r w:rsidR="00F12A8E">
        <w:rPr>
          <w:lang w:val="en-US" w:eastAsia="ko-KR"/>
        </w:rPr>
        <w:t xml:space="preserve">. </w:t>
      </w:r>
      <w:r>
        <w:rPr>
          <w:lang w:val="en-US" w:eastAsia="ko-KR"/>
        </w:rPr>
        <w:t xml:space="preserve">For example, if </w:t>
      </w:r>
      <w:r w:rsidR="00F12A8E">
        <w:rPr>
          <w:lang w:val="en-US" w:eastAsia="ko-KR"/>
        </w:rPr>
        <w:t>TSN traffic is of the fixed message size, e.g.</w:t>
      </w:r>
      <w:proofErr w:type="gramStart"/>
      <w:r w:rsidR="00F12A8E">
        <w:rPr>
          <w:lang w:val="en-US" w:eastAsia="ko-KR"/>
        </w:rPr>
        <w:t>,10</w:t>
      </w:r>
      <w:proofErr w:type="gramEnd"/>
      <w:r w:rsidR="00F12A8E">
        <w:rPr>
          <w:lang w:val="en-US" w:eastAsia="ko-KR"/>
        </w:rPr>
        <w:t xml:space="preserve"> bytes, </w:t>
      </w:r>
      <w:r>
        <w:rPr>
          <w:lang w:val="en-US" w:eastAsia="ko-KR"/>
        </w:rPr>
        <w:t xml:space="preserve">the network can provide proper UL grant for this TSN traffic. Alternatively, </w:t>
      </w:r>
      <w:r w:rsidR="00F12A8E">
        <w:rPr>
          <w:lang w:val="en-US" w:eastAsia="ko-KR"/>
        </w:rPr>
        <w:t>a finer granularity of buffer size can be reported, e.g., per logical channel</w:t>
      </w:r>
      <w:r>
        <w:rPr>
          <w:lang w:val="en-US" w:eastAsia="ko-KR"/>
        </w:rPr>
        <w:t>, so that the network can know the required UL grant more accurately.</w:t>
      </w:r>
    </w:p>
    <w:p w14:paraId="694C59B1" w14:textId="1DC25E44" w:rsidR="00A6542B" w:rsidRDefault="004F353E" w:rsidP="00A6542B">
      <w:pPr>
        <w:rPr>
          <w:lang w:val="en-US" w:eastAsia="ko-KR"/>
        </w:rPr>
      </w:pPr>
      <w:r>
        <w:rPr>
          <w:b/>
          <w:lang w:val="en-US" w:eastAsia="ko-KR"/>
        </w:rPr>
        <w:t>Proposal</w:t>
      </w:r>
      <w:r w:rsidR="00A6542B" w:rsidRPr="00CA73DB">
        <w:rPr>
          <w:b/>
          <w:lang w:val="en-US" w:eastAsia="ko-KR"/>
        </w:rPr>
        <w:t xml:space="preserve">. </w:t>
      </w:r>
      <w:r w:rsidR="00763C6E">
        <w:rPr>
          <w:lang w:val="en-US" w:eastAsia="ko-KR"/>
        </w:rPr>
        <w:t>S</w:t>
      </w:r>
      <w:r w:rsidR="00BA3CEF" w:rsidRPr="006B6D53">
        <w:rPr>
          <w:lang w:val="en-US" w:eastAsia="ko-KR"/>
        </w:rPr>
        <w:t xml:space="preserve">cheduling </w:t>
      </w:r>
      <w:r w:rsidR="00763C6E">
        <w:rPr>
          <w:lang w:val="en-US" w:eastAsia="ko-KR"/>
        </w:rPr>
        <w:t xml:space="preserve">and BSR </w:t>
      </w:r>
      <w:r w:rsidR="00BA3CEF" w:rsidRPr="006B6D53">
        <w:rPr>
          <w:lang w:val="en-US" w:eastAsia="ko-KR"/>
        </w:rPr>
        <w:t>enhancement for time critical TSN traffic</w:t>
      </w:r>
      <w:r w:rsidR="00763C6E">
        <w:rPr>
          <w:lang w:val="en-US" w:eastAsia="ko-KR"/>
        </w:rPr>
        <w:t xml:space="preserve"> should be discussed in WI phase</w:t>
      </w:r>
      <w:r w:rsidR="00BA3CEF" w:rsidRPr="006B6D53">
        <w:rPr>
          <w:lang w:val="en-US" w:eastAsia="ko-KR"/>
        </w:rPr>
        <w:t xml:space="preserve">, </w:t>
      </w:r>
      <w:r w:rsidR="00530ABF">
        <w:rPr>
          <w:lang w:val="en-US" w:eastAsia="ko-KR"/>
        </w:rPr>
        <w:t>for instance,</w:t>
      </w:r>
      <w:r w:rsidR="00BA3CEF" w:rsidRPr="006B6D53">
        <w:rPr>
          <w:lang w:val="en-US" w:eastAsia="ko-KR"/>
        </w:rPr>
        <w:t xml:space="preserve"> logical channel specific UL grant, or </w:t>
      </w:r>
      <w:r w:rsidR="00A6542B" w:rsidRPr="006B6D53">
        <w:rPr>
          <w:lang w:val="en-US" w:eastAsia="ko-KR"/>
        </w:rPr>
        <w:t xml:space="preserve">BSR </w:t>
      </w:r>
      <w:r w:rsidR="00BA3CEF" w:rsidRPr="006B6D53">
        <w:rPr>
          <w:lang w:val="en-US" w:eastAsia="ko-KR"/>
        </w:rPr>
        <w:t xml:space="preserve">per logical channel. </w:t>
      </w:r>
    </w:p>
    <w:p w14:paraId="0D92D097" w14:textId="78449E54" w:rsidR="007134FA" w:rsidRPr="006B6D53" w:rsidRDefault="007134FA" w:rsidP="00A6542B">
      <w:pPr>
        <w:rPr>
          <w:lang w:val="en-US" w:eastAsia="ko-KR"/>
        </w:rPr>
      </w:pPr>
      <w:r>
        <w:rPr>
          <w:lang w:val="en-US" w:eastAsia="ko-KR"/>
        </w:rPr>
        <w:t xml:space="preserve">Corresponding Text Proposal </w:t>
      </w:r>
      <w:r w:rsidR="00111197">
        <w:rPr>
          <w:lang w:val="en-US" w:eastAsia="ko-KR"/>
        </w:rPr>
        <w:t>to</w:t>
      </w:r>
      <w:r>
        <w:rPr>
          <w:lang w:val="en-US" w:eastAsia="ko-KR"/>
        </w:rPr>
        <w:t xml:space="preserve"> TR 38.</w:t>
      </w:r>
      <w:r w:rsidR="00171720">
        <w:rPr>
          <w:lang w:val="en-US" w:eastAsia="ko-KR"/>
        </w:rPr>
        <w:t>8</w:t>
      </w:r>
      <w:r>
        <w:rPr>
          <w:lang w:val="en-US" w:eastAsia="ko-KR"/>
        </w:rPr>
        <w:t xml:space="preserve">25 is provided in </w:t>
      </w:r>
      <w:r w:rsidRPr="000F1706">
        <w:rPr>
          <w:lang w:val="en-US" w:eastAsia="ko-KR"/>
        </w:rPr>
        <w:t>R2-</w:t>
      </w:r>
      <w:r w:rsidR="000F1706" w:rsidRPr="000F1706">
        <w:rPr>
          <w:lang w:val="en-US" w:eastAsia="ko-KR"/>
        </w:rPr>
        <w:t>1902007</w:t>
      </w:r>
      <w:bookmarkStart w:id="0" w:name="_GoBack"/>
      <w:bookmarkEnd w:id="0"/>
      <w:r>
        <w:rPr>
          <w:lang w:val="en-US"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708F5B89" w:rsidR="00A60F2B" w:rsidRPr="00A60F2B" w:rsidRDefault="00EE399F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B6D53">
        <w:rPr>
          <w:lang w:eastAsia="ko-KR"/>
        </w:rPr>
        <w:t>a potential scheduling enhancement is presented by considering time critical TSN packets, and it is proposed that</w:t>
      </w:r>
    </w:p>
    <w:p w14:paraId="7E5A3A7F" w14:textId="049F43CE" w:rsidR="006B6D53" w:rsidRPr="006B6D53" w:rsidRDefault="006B6D53" w:rsidP="006B6D53">
      <w:pPr>
        <w:rPr>
          <w:lang w:val="en-US" w:eastAsia="ko-KR"/>
        </w:rPr>
      </w:pPr>
      <w:r>
        <w:rPr>
          <w:b/>
          <w:lang w:val="en-US" w:eastAsia="ko-KR"/>
        </w:rPr>
        <w:t>Proposal</w:t>
      </w:r>
      <w:r w:rsidRPr="00CA73DB">
        <w:rPr>
          <w:b/>
          <w:lang w:val="en-US" w:eastAsia="ko-KR"/>
        </w:rPr>
        <w:t xml:space="preserve">. </w:t>
      </w:r>
      <w:r w:rsidR="00763C6E">
        <w:rPr>
          <w:lang w:val="en-US" w:eastAsia="ko-KR"/>
        </w:rPr>
        <w:t>S</w:t>
      </w:r>
      <w:r w:rsidR="00763C6E" w:rsidRPr="006B6D53">
        <w:rPr>
          <w:lang w:val="en-US" w:eastAsia="ko-KR"/>
        </w:rPr>
        <w:t xml:space="preserve">cheduling </w:t>
      </w:r>
      <w:r w:rsidR="00763C6E">
        <w:rPr>
          <w:lang w:val="en-US" w:eastAsia="ko-KR"/>
        </w:rPr>
        <w:t xml:space="preserve">and BSR </w:t>
      </w:r>
      <w:r w:rsidR="00763C6E" w:rsidRPr="006B6D53">
        <w:rPr>
          <w:lang w:val="en-US" w:eastAsia="ko-KR"/>
        </w:rPr>
        <w:t>enhancement for time critical TSN traffic</w:t>
      </w:r>
      <w:r w:rsidR="00763C6E">
        <w:rPr>
          <w:lang w:val="en-US" w:eastAsia="ko-KR"/>
        </w:rPr>
        <w:t xml:space="preserve"> should be discussed in WI phase</w:t>
      </w:r>
      <w:r w:rsidR="00530ABF" w:rsidRPr="006B6D53">
        <w:rPr>
          <w:lang w:val="en-US" w:eastAsia="ko-KR"/>
        </w:rPr>
        <w:t xml:space="preserve">, </w:t>
      </w:r>
      <w:r w:rsidR="00530ABF">
        <w:rPr>
          <w:lang w:val="en-US" w:eastAsia="ko-KR"/>
        </w:rPr>
        <w:t>for instance,</w:t>
      </w:r>
      <w:r w:rsidR="00530ABF" w:rsidRPr="006B6D53">
        <w:rPr>
          <w:lang w:val="en-US" w:eastAsia="ko-KR"/>
        </w:rPr>
        <w:t xml:space="preserve"> </w:t>
      </w:r>
      <w:r w:rsidR="00B76887" w:rsidRPr="006B6D53">
        <w:rPr>
          <w:lang w:val="en-US" w:eastAsia="ko-KR"/>
        </w:rPr>
        <w:t xml:space="preserve">logical channel specific UL grant, or BSR per logical channel. </w:t>
      </w:r>
      <w:r w:rsidRPr="006B6D53">
        <w:rPr>
          <w:lang w:val="en-US" w:eastAsia="ko-KR"/>
        </w:rPr>
        <w:t xml:space="preserve"> </w:t>
      </w:r>
    </w:p>
    <w:p w14:paraId="4327C947" w14:textId="7CFC83D3" w:rsidR="00EC64F4" w:rsidRPr="006B6D53" w:rsidRDefault="00EC64F4" w:rsidP="006B6D53">
      <w:pPr>
        <w:rPr>
          <w:lang w:val="en-US" w:eastAsia="ko-KR"/>
        </w:rPr>
      </w:pPr>
    </w:p>
    <w:sectPr w:rsidR="00EC64F4" w:rsidRPr="006B6D53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66EFD" w14:textId="77777777" w:rsidR="00E56AA1" w:rsidRDefault="00E56AA1">
      <w:pPr>
        <w:pStyle w:val="1"/>
      </w:pPr>
      <w:r>
        <w:separator/>
      </w:r>
    </w:p>
  </w:endnote>
  <w:endnote w:type="continuationSeparator" w:id="0">
    <w:p w14:paraId="77B78D23" w14:textId="77777777" w:rsidR="00E56AA1" w:rsidRDefault="00E56AA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F1706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EE59C" w14:textId="77777777" w:rsidR="00E56AA1" w:rsidRDefault="00E56AA1">
      <w:pPr>
        <w:pStyle w:val="1"/>
      </w:pPr>
      <w:r>
        <w:separator/>
      </w:r>
    </w:p>
  </w:footnote>
  <w:footnote w:type="continuationSeparator" w:id="0">
    <w:p w14:paraId="76489293" w14:textId="77777777" w:rsidR="00E56AA1" w:rsidRDefault="00E56AA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4"/>
  </w:num>
  <w:num w:numId="5">
    <w:abstractNumId w:val="17"/>
  </w:num>
  <w:num w:numId="6">
    <w:abstractNumId w:val="23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5"/>
  </w:num>
  <w:num w:numId="2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20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Uid=RP-1820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0D520-59B3-4DAD-AC2F-43D1C0F2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6154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101</cp:revision>
  <cp:lastPrinted>2014-08-09T03:01:00Z</cp:lastPrinted>
  <dcterms:created xsi:type="dcterms:W3CDTF">2018-04-04T08:34:00Z</dcterms:created>
  <dcterms:modified xsi:type="dcterms:W3CDTF">2019-02-15T03:51:00Z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